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highlight w:val="none"/>
        </w:rPr>
        <w:t>南京机电职业技术学院第五届“欧帝杯”创新创意创业大赛暨第五届中国“互联网+”大学生创新创业大赛校内选</w:t>
      </w:r>
      <w:r>
        <w:rPr>
          <w:rFonts w:hint="eastAsia" w:ascii="仿宋_GB2312" w:eastAsia="仿宋_GB2312"/>
          <w:b/>
          <w:color w:val="000000"/>
          <w:sz w:val="36"/>
          <w:szCs w:val="36"/>
          <w:highlight w:val="none"/>
        </w:rPr>
        <w:t>拔赛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优秀组织奖评选标准</w:t>
      </w:r>
    </w:p>
    <w:tbl>
      <w:tblPr>
        <w:tblStyle w:val="3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774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类别</w:t>
            </w:r>
          </w:p>
        </w:tc>
        <w:tc>
          <w:tcPr>
            <w:tcW w:w="77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具体评审内容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组织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与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宣传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（10分）</w:t>
            </w: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能够根据学院“三创大赛”通知要求，召开部门专题会议，统一组织、部署、动员本系师生参加学院大赛                                            （3分）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由专人负责具体落实 ，开展部门预赛选拔活动                       （3分）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信息传达准确，报名参赛准时，材料准备齐全                        （4分）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报名参赛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作品数（20分）</w:t>
            </w: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能够推荐原创性好、有专利发明点的实物作品不少于15件，其中，具有与专业相关的专利发明点作品不少于5件                                     （10分）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每个组别能够分别推荐4件及以上参赛作品                           （5分）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部门推荐参赛作品总数超过15件，每增加4件，加1分，加满5分为止 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部门人员参赛情况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（30分）</w:t>
            </w: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教职工报名参赛人数占本部门教职工总数的50%                       （10分）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学生报名参赛人数占本部门学生（一年级和二年级）总人数的5%       （10分）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教职工报名参赛人数占本部门教职工总数比例超过50%，每增加2%加1分，加满5分为止                   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7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学生报名参赛人数占本部门学生（一年级和二年级）总人数比例超过5%，每增加2%加1分，加满5分为止                   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参赛作品获奖情况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（30分）</w:t>
            </w:r>
          </w:p>
        </w:tc>
        <w:tc>
          <w:tcPr>
            <w:tcW w:w="7740" w:type="dxa"/>
            <w:noWrap w:val="0"/>
            <w:vAlign w:val="center"/>
          </w:tcPr>
          <w:p>
            <w:pPr>
              <w:ind w:left="6720" w:hanging="6720" w:hangingChars="3200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本部门参赛作</w:t>
            </w:r>
            <w:r>
              <w:rPr>
                <w:rFonts w:hint="eastAsia"/>
                <w:highlight w:val="none"/>
              </w:rPr>
              <w:t>品获奖数占大赛获奖作品（一、二、三等奖）总数的20%。                                                    （10分）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本部门参赛作品</w:t>
            </w:r>
            <w:r>
              <w:rPr>
                <w:rFonts w:hint="eastAsia"/>
                <w:highlight w:val="none"/>
              </w:rPr>
              <w:t xml:space="preserve">获奖数占本部门预赛参赛作品总数的30%。         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（5分）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每获得1项一等奖加3分、每获得1项二等奖加2分、每获得1项三等奖或单项奖加1分，加满15分为止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为大赛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提供经费支持情况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（10分）</w:t>
            </w: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部门能够为大赛提供经费支持（合作企业赞助或系部二级账户经费）满2000元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    （5分）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740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部门提供的经费支持满2000元，每超过500元，加1分，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加满5分为止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合计总得分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</w:tbl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备注：1.优秀组织奖，面向6个教学单位和2个机关支部进行评选；评选2个优秀组织奖，按照综合评分排名评选。</w:t>
      </w:r>
    </w:p>
    <w:p>
      <w:pPr>
        <w:ind w:firstLine="630" w:firstLineChars="300"/>
        <w:rPr>
          <w:rFonts w:hint="eastAsia"/>
          <w:highlight w:val="none"/>
        </w:rPr>
      </w:pPr>
      <w:r>
        <w:rPr>
          <w:rFonts w:hint="eastAsia"/>
          <w:highlight w:val="none"/>
        </w:rPr>
        <w:t>2.机关支部的“部门人员参赛情况”评分原则：机关支部教职工参赛人数占本支部教职工总数的50%及以上，则该机关支部“部门人员参赛情况”得分取6个教学单位该项得分的平均分。</w:t>
      </w:r>
    </w:p>
    <w:p>
      <w:pPr>
        <w:ind w:firstLine="630" w:firstLineChars="300"/>
        <w:rPr>
          <w:rFonts w:hint="eastAsia"/>
          <w:highlight w:val="none"/>
        </w:rPr>
      </w:pPr>
      <w:r>
        <w:rPr>
          <w:rFonts w:hint="eastAsia"/>
          <w:highlight w:val="none"/>
        </w:rPr>
        <w:t>3.继教院的“部门人员参赛情况”，以五年制二年级和三年级在校学生数计算参与比。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9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吴恩百</dc:creator>
  <cp:lastModifiedBy>Mercy</cp:lastModifiedBy>
  <dcterms:modified xsi:type="dcterms:W3CDTF">2019-03-05T03:37:11Z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